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240" w:before="240" w:lineRule="auto"/>
        <w:jc w:val="center"/>
        <w:rPr>
          <w:rFonts w:ascii="Titillium Web" w:cs="Titillium Web" w:eastAsia="Titillium Web" w:hAnsi="Titillium Web"/>
          <w:b w:val="1"/>
          <w:sz w:val="36"/>
          <w:szCs w:val="36"/>
        </w:rPr>
      </w:pPr>
      <w:r w:rsidDel="00000000" w:rsidR="00000000" w:rsidRPr="00000000">
        <w:rPr>
          <w:rFonts w:ascii="Titillium Web" w:cs="Titillium Web" w:eastAsia="Titillium Web" w:hAnsi="Titillium Web"/>
          <w:b w:val="1"/>
          <w:sz w:val="36"/>
          <w:szCs w:val="36"/>
          <w:rtl w:val="0"/>
        </w:rPr>
        <w:t xml:space="preserve">Cours COFALOW - Matériaux bois</w:t>
      </w:r>
    </w:p>
    <w:tbl>
      <w:tblPr>
        <w:tblStyle w:val="Table1"/>
        <w:tblW w:w="9025.511811023622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989.328074985481"/>
        <w:gridCol w:w="2442.151780770114"/>
        <w:gridCol w:w="3080.749314568955"/>
        <w:gridCol w:w="1513.282640699072"/>
        <w:tblGridChange w:id="0">
          <w:tblGrid>
            <w:gridCol w:w="1989.328074985481"/>
            <w:gridCol w:w="2442.151780770114"/>
            <w:gridCol w:w="3080.749314568955"/>
            <w:gridCol w:w="1513.282640699072"/>
          </w:tblGrid>
        </w:tblGridChange>
      </w:tblGrid>
      <w:tr>
        <w:trPr>
          <w:cantSplit w:val="0"/>
          <w:trHeight w:val="63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3">
            <w:pPr>
              <w:rPr>
                <w:rFonts w:ascii="Titillium Web" w:cs="Titillium Web" w:eastAsia="Titillium Web" w:hAnsi="Titillium Web"/>
              </w:rPr>
            </w:pPr>
            <w:r w:rsidDel="00000000" w:rsidR="00000000" w:rsidRPr="00000000">
              <w:rPr>
                <w:rFonts w:ascii="Titillium Web" w:cs="Titillium Web" w:eastAsia="Titillium Web" w:hAnsi="Titillium Web"/>
                <w:rtl w:val="0"/>
              </w:rPr>
              <w:t xml:space="preserve">Date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widowControl w:val="0"/>
              <w:rPr>
                <w:rFonts w:ascii="Titillium Web" w:cs="Titillium Web" w:eastAsia="Titillium Web" w:hAnsi="Titillium Web"/>
              </w:rPr>
            </w:pPr>
            <w:r w:rsidDel="00000000" w:rsidR="00000000" w:rsidRPr="00000000">
              <w:rPr>
                <w:rFonts w:ascii="Titillium Web" w:cs="Titillium Web" w:eastAsia="Titillium Web" w:hAnsi="Titillium Web"/>
                <w:rtl w:val="0"/>
              </w:rPr>
              <w:t xml:space="preserve">Lieu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widowControl w:val="0"/>
              <w:rPr>
                <w:rFonts w:ascii="Titillium Web" w:cs="Titillium Web" w:eastAsia="Titillium Web" w:hAnsi="Titillium Web"/>
              </w:rPr>
            </w:pPr>
            <w:r w:rsidDel="00000000" w:rsidR="00000000" w:rsidRPr="00000000">
              <w:rPr>
                <w:rFonts w:ascii="Titillium Web" w:cs="Titillium Web" w:eastAsia="Titillium Web" w:hAnsi="Titillium Web"/>
                <w:rtl w:val="0"/>
              </w:rPr>
              <w:t xml:space="preserve">Intervenant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widowControl w:val="0"/>
              <w:rPr>
                <w:rFonts w:ascii="Titillium Web" w:cs="Titillium Web" w:eastAsia="Titillium Web" w:hAnsi="Titillium Web"/>
              </w:rPr>
            </w:pPr>
            <w:r w:rsidDel="00000000" w:rsidR="00000000" w:rsidRPr="00000000">
              <w:rPr>
                <w:rFonts w:ascii="Titillium Web" w:cs="Titillium Web" w:eastAsia="Titillium Web" w:hAnsi="Titillium Web"/>
                <w:rtl w:val="0"/>
              </w:rPr>
              <w:t xml:space="preserve">Présents</w:t>
            </w:r>
          </w:p>
        </w:tc>
      </w:tr>
      <w:tr>
        <w:trPr>
          <w:cantSplit w:val="0"/>
          <w:trHeight w:val="63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widowControl w:val="0"/>
              <w:rPr>
                <w:rFonts w:ascii="Titillium Web" w:cs="Titillium Web" w:eastAsia="Titillium Web" w:hAnsi="Titillium Web"/>
              </w:rPr>
            </w:pPr>
            <w:r w:rsidDel="00000000" w:rsidR="00000000" w:rsidRPr="00000000">
              <w:rPr>
                <w:rFonts w:ascii="Titillium Web" w:cs="Titillium Web" w:eastAsia="Titillium Web" w:hAnsi="Titillium Web"/>
                <w:rtl w:val="0"/>
              </w:rPr>
              <w:t xml:space="preserve">06/01/2023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widowControl w:val="0"/>
              <w:rPr>
                <w:rFonts w:ascii="Titillium Web" w:cs="Titillium Web" w:eastAsia="Titillium Web" w:hAnsi="Titillium Web"/>
              </w:rPr>
            </w:pPr>
            <w:r w:rsidDel="00000000" w:rsidR="00000000" w:rsidRPr="00000000">
              <w:rPr>
                <w:rFonts w:ascii="Titillium Web" w:cs="Titillium Web" w:eastAsia="Titillium Web" w:hAnsi="Titillium Web"/>
                <w:rtl w:val="0"/>
              </w:rPr>
              <w:t xml:space="preserve">Bat. I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widowControl w:val="0"/>
              <w:rPr>
                <w:rFonts w:ascii="Titillium Web" w:cs="Titillium Web" w:eastAsia="Titillium Web" w:hAnsi="Titillium Web"/>
              </w:rPr>
            </w:pPr>
            <w:r w:rsidDel="00000000" w:rsidR="00000000" w:rsidRPr="00000000">
              <w:rPr>
                <w:rFonts w:ascii="Titillium Web" w:cs="Titillium Web" w:eastAsia="Titillium Web" w:hAnsi="Titillium Web"/>
                <w:rtl w:val="0"/>
              </w:rPr>
              <w:t xml:space="preserve">Jérôme Friand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widowControl w:val="0"/>
              <w:rPr>
                <w:rFonts w:ascii="Titillium Web" w:cs="Titillium Web" w:eastAsia="Titillium Web" w:hAnsi="Titillium Web"/>
              </w:rPr>
            </w:pPr>
            <w:r w:rsidDel="00000000" w:rsidR="00000000" w:rsidRPr="00000000">
              <w:rPr>
                <w:rFonts w:ascii="Titillium Web" w:cs="Titillium Web" w:eastAsia="Titillium Web" w:hAnsi="Titillium Web"/>
                <w:rtl w:val="0"/>
              </w:rPr>
              <w:t xml:space="preserve">Tous</w:t>
            </w:r>
          </w:p>
        </w:tc>
      </w:tr>
    </w:tbl>
    <w:p w:rsidR="00000000" w:rsidDel="00000000" w:rsidP="00000000" w:rsidRDefault="00000000" w:rsidRPr="00000000" w14:paraId="0000000B">
      <w:pPr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sdt>
      <w:sdtPr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0D">
          <w:pPr>
            <w:widowControl w:val="0"/>
            <w:tabs>
              <w:tab w:val="right" w:leader="none" w:pos="9025.511811023624"/>
            </w:tabs>
            <w:spacing w:before="60" w:line="240" w:lineRule="auto"/>
            <w:rPr>
              <w:rFonts w:ascii="Titillium Web" w:cs="Titillium Web" w:eastAsia="Titillium Web" w:hAnsi="Titillium Web"/>
              <w:b w:val="1"/>
              <w:color w:val="000000"/>
              <w:u w:val="none"/>
            </w:rPr>
          </w:pPr>
          <w:r w:rsidDel="00000000" w:rsidR="00000000" w:rsidRPr="00000000">
            <w:fldChar w:fldCharType="begin"/>
            <w:instrText xml:space="preserve"> TOC \h \u \z \t "Heading 1,1,Heading 2,2,Heading 3,3,Heading 4,4,Heading 5,5,Heading 6,6,"</w:instrText>
            <w:fldChar w:fldCharType="separate"/>
          </w:r>
          <w:hyperlink w:anchor="_z7fp7awez7b5">
            <w:r w:rsidDel="00000000" w:rsidR="00000000" w:rsidRPr="00000000">
              <w:rPr>
                <w:rFonts w:ascii="Titillium Web" w:cs="Titillium Web" w:eastAsia="Titillium Web" w:hAnsi="Titillium Web"/>
                <w:b w:val="1"/>
                <w:color w:val="000000"/>
                <w:u w:val="none"/>
                <w:rtl w:val="0"/>
              </w:rPr>
              <w:t xml:space="preserve">Caractéristique du bois</w:t>
              <w:tab/>
            </w:r>
          </w:hyperlink>
          <w:r w:rsidDel="00000000" w:rsidR="00000000" w:rsidRPr="00000000">
            <w:fldChar w:fldCharType="begin"/>
            <w:instrText xml:space="preserve"> PAGEREF _z7fp7awez7b5 \h </w:instrText>
            <w:fldChar w:fldCharType="separate"/>
          </w:r>
          <w:r w:rsidDel="00000000" w:rsidR="00000000" w:rsidRPr="00000000">
            <w:rPr>
              <w:rFonts w:ascii="Titillium Web" w:cs="Titillium Web" w:eastAsia="Titillium Web" w:hAnsi="Titillium Web"/>
              <w:b w:val="1"/>
              <w:rtl w:val="0"/>
            </w:rPr>
            <w:t xml:space="preserve">1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E">
          <w:pPr>
            <w:widowControl w:val="0"/>
            <w:tabs>
              <w:tab w:val="right" w:leader="none" w:pos="9025.511811023624"/>
            </w:tabs>
            <w:spacing w:before="60" w:line="240" w:lineRule="auto"/>
            <w:rPr>
              <w:rFonts w:ascii="Titillium Web" w:cs="Titillium Web" w:eastAsia="Titillium Web" w:hAnsi="Titillium Web"/>
              <w:b w:val="1"/>
              <w:color w:val="000000"/>
              <w:u w:val="none"/>
            </w:rPr>
          </w:pPr>
          <w:hyperlink w:anchor="_5369oe2r87rf">
            <w:r w:rsidDel="00000000" w:rsidR="00000000" w:rsidRPr="00000000">
              <w:rPr>
                <w:rFonts w:ascii="Titillium Web" w:cs="Titillium Web" w:eastAsia="Titillium Web" w:hAnsi="Titillium Web"/>
                <w:b w:val="1"/>
                <w:color w:val="000000"/>
                <w:u w:val="none"/>
                <w:rtl w:val="0"/>
              </w:rPr>
              <w:t xml:space="preserve">Bois et matériaux dérivés</w:t>
              <w:tab/>
            </w:r>
          </w:hyperlink>
          <w:r w:rsidDel="00000000" w:rsidR="00000000" w:rsidRPr="00000000">
            <w:fldChar w:fldCharType="begin"/>
            <w:instrText xml:space="preserve"> PAGEREF _5369oe2r87rf \h </w:instrText>
            <w:fldChar w:fldCharType="separate"/>
          </w:r>
          <w:r w:rsidDel="00000000" w:rsidR="00000000" w:rsidRPr="00000000">
            <w:rPr>
              <w:rFonts w:ascii="Titillium Web" w:cs="Titillium Web" w:eastAsia="Titillium Web" w:hAnsi="Titillium Web"/>
              <w:b w:val="1"/>
              <w:rtl w:val="0"/>
            </w:rPr>
            <w:t xml:space="preserve">3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F">
          <w:pPr>
            <w:widowControl w:val="0"/>
            <w:tabs>
              <w:tab w:val="right" w:leader="none" w:pos="9025.511811023624"/>
            </w:tabs>
            <w:spacing w:before="60" w:line="240" w:lineRule="auto"/>
            <w:ind w:left="360" w:firstLine="0"/>
            <w:rPr>
              <w:rFonts w:ascii="Titillium Web" w:cs="Titillium Web" w:eastAsia="Titillium Web" w:hAnsi="Titillium Web"/>
              <w:color w:val="000000"/>
              <w:u w:val="none"/>
            </w:rPr>
          </w:pPr>
          <w:hyperlink w:anchor="_3dhsr2v9b97k">
            <w:r w:rsidDel="00000000" w:rsidR="00000000" w:rsidRPr="00000000">
              <w:rPr>
                <w:rFonts w:ascii="Titillium Web" w:cs="Titillium Web" w:eastAsia="Titillium Web" w:hAnsi="Titillium Web"/>
                <w:color w:val="000000"/>
                <w:u w:val="none"/>
                <w:rtl w:val="0"/>
              </w:rPr>
              <w:t xml:space="preserve">1.Le bois massif</w:t>
              <w:tab/>
            </w:r>
          </w:hyperlink>
          <w:r w:rsidDel="00000000" w:rsidR="00000000" w:rsidRPr="00000000">
            <w:fldChar w:fldCharType="begin"/>
            <w:instrText xml:space="preserve"> PAGEREF _3dhsr2v9b97k \h </w:instrText>
            <w:fldChar w:fldCharType="separate"/>
          </w:r>
          <w:r w:rsidDel="00000000" w:rsidR="00000000" w:rsidRPr="00000000">
            <w:rPr>
              <w:rFonts w:ascii="Titillium Web" w:cs="Titillium Web" w:eastAsia="Titillium Web" w:hAnsi="Titillium Web"/>
              <w:rtl w:val="0"/>
            </w:rPr>
            <w:t xml:space="preserve">3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0">
          <w:pPr>
            <w:widowControl w:val="0"/>
            <w:tabs>
              <w:tab w:val="right" w:leader="none" w:pos="9025.511811023624"/>
            </w:tabs>
            <w:spacing w:before="60" w:line="240" w:lineRule="auto"/>
            <w:ind w:left="360" w:firstLine="0"/>
            <w:rPr>
              <w:rFonts w:ascii="Titillium Web" w:cs="Titillium Web" w:eastAsia="Titillium Web" w:hAnsi="Titillium Web"/>
              <w:color w:val="000000"/>
              <w:u w:val="none"/>
            </w:rPr>
          </w:pPr>
          <w:hyperlink w:anchor="_ag3ocbb9loi5">
            <w:r w:rsidDel="00000000" w:rsidR="00000000" w:rsidRPr="00000000">
              <w:rPr>
                <w:rFonts w:ascii="Titillium Web" w:cs="Titillium Web" w:eastAsia="Titillium Web" w:hAnsi="Titillium Web"/>
                <w:color w:val="000000"/>
                <w:u w:val="none"/>
                <w:rtl w:val="0"/>
              </w:rPr>
              <w:t xml:space="preserve">2. Le bois reconstitué</w:t>
              <w:tab/>
            </w:r>
          </w:hyperlink>
          <w:r w:rsidDel="00000000" w:rsidR="00000000" w:rsidRPr="00000000">
            <w:fldChar w:fldCharType="begin"/>
            <w:instrText xml:space="preserve"> PAGEREF _ag3ocbb9loi5 \h </w:instrText>
            <w:fldChar w:fldCharType="separate"/>
          </w:r>
          <w:r w:rsidDel="00000000" w:rsidR="00000000" w:rsidRPr="00000000">
            <w:rPr>
              <w:rFonts w:ascii="Titillium Web" w:cs="Titillium Web" w:eastAsia="Titillium Web" w:hAnsi="Titillium Web"/>
              <w:rtl w:val="0"/>
            </w:rPr>
            <w:t xml:space="preserve">4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1">
          <w:pPr>
            <w:widowControl w:val="0"/>
            <w:tabs>
              <w:tab w:val="right" w:leader="none" w:pos="9025.511811023624"/>
            </w:tabs>
            <w:spacing w:before="60" w:line="240" w:lineRule="auto"/>
            <w:ind w:left="360" w:firstLine="0"/>
            <w:rPr>
              <w:rFonts w:ascii="Titillium Web" w:cs="Titillium Web" w:eastAsia="Titillium Web" w:hAnsi="Titillium Web"/>
              <w:color w:val="000000"/>
              <w:u w:val="none"/>
            </w:rPr>
          </w:pPr>
          <w:hyperlink w:anchor="_lrk286ybqed7">
            <w:r w:rsidDel="00000000" w:rsidR="00000000" w:rsidRPr="00000000">
              <w:rPr>
                <w:rFonts w:ascii="Titillium Web" w:cs="Titillium Web" w:eastAsia="Titillium Web" w:hAnsi="Titillium Web"/>
                <w:color w:val="000000"/>
                <w:u w:val="none"/>
                <w:rtl w:val="0"/>
              </w:rPr>
              <w:t xml:space="preserve">3.Le bois: matériau écologique ?</w:t>
              <w:tab/>
            </w:r>
          </w:hyperlink>
          <w:r w:rsidDel="00000000" w:rsidR="00000000" w:rsidRPr="00000000">
            <w:fldChar w:fldCharType="begin"/>
            <w:instrText xml:space="preserve"> PAGEREF _lrk286ybqed7 \h </w:instrText>
            <w:fldChar w:fldCharType="separate"/>
          </w:r>
          <w:r w:rsidDel="00000000" w:rsidR="00000000" w:rsidRPr="00000000">
            <w:rPr>
              <w:rFonts w:ascii="Titillium Web" w:cs="Titillium Web" w:eastAsia="Titillium Web" w:hAnsi="Titillium Web"/>
              <w:rtl w:val="0"/>
            </w:rPr>
            <w:t xml:space="preserve">5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12">
      <w:pPr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>
          <w:rFonts w:ascii="Titillium Web" w:cs="Titillium Web" w:eastAsia="Titillium Web" w:hAnsi="Titillium Web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Style w:val="Heading1"/>
        <w:pBdr>
          <w:left w:color="ffd966" w:space="2" w:sz="24" w:val="single"/>
        </w:pBdr>
        <w:spacing w:after="240" w:before="240" w:lineRule="auto"/>
        <w:jc w:val="both"/>
        <w:rPr/>
      </w:pPr>
      <w:bookmarkStart w:colFirst="0" w:colLast="0" w:name="_z7fp7awez7b5" w:id="0"/>
      <w:bookmarkEnd w:id="0"/>
      <w:r w:rsidDel="00000000" w:rsidR="00000000" w:rsidRPr="00000000">
        <w:rPr>
          <w:rtl w:val="0"/>
        </w:rPr>
        <w:t xml:space="preserve">Caractéristique du bois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3057525</wp:posOffset>
            </wp:positionH>
            <wp:positionV relativeFrom="paragraph">
              <wp:posOffset>377706</wp:posOffset>
            </wp:positionV>
            <wp:extent cx="3121831" cy="1891268"/>
            <wp:effectExtent b="0" l="0" r="0" t="0"/>
            <wp:wrapSquare wrapText="bothSides" distB="114300" distT="114300" distL="114300" distR="11430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21831" cy="189126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7">
      <w:pPr>
        <w:spacing w:after="240" w:before="240" w:lineRule="auto"/>
        <w:jc w:val="both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240" w:before="240" w:lineRule="auto"/>
        <w:jc w:val="both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-&gt; Matériaux pas isotrope (caractéristique, solidité dépendent de son orientation)</w:t>
      </w:r>
    </w:p>
    <w:p w:rsidR="00000000" w:rsidDel="00000000" w:rsidP="00000000" w:rsidRDefault="00000000" w:rsidRPr="00000000" w14:paraId="00000019">
      <w:pPr>
        <w:spacing w:after="240" w:before="240" w:lineRule="auto"/>
        <w:jc w:val="both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-&gt; Matériau non homogène (nœud, cernes de croissances…)</w:t>
      </w:r>
    </w:p>
    <w:p w:rsidR="00000000" w:rsidDel="00000000" w:rsidP="00000000" w:rsidRDefault="00000000" w:rsidRPr="00000000" w14:paraId="0000001A">
      <w:pPr>
        <w:spacing w:after="240" w:before="240" w:lineRule="auto"/>
        <w:jc w:val="both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-&gt; Bon isolant thermique </w:t>
      </w:r>
      <m:oMath>
        <m:r>
          <m:t>λ</m:t>
        </m:r>
      </m:oMath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 = 0,12 W/mK (isolant standard bâtiment </w:t>
      </w:r>
      <m:oMath>
        <m:r>
          <m:t>λ</m:t>
        </m:r>
      </m:oMath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 = 0,04). On évite beaucoup de ponts thermiques.</w:t>
      </w:r>
    </w:p>
    <w:p w:rsidR="00000000" w:rsidDel="00000000" w:rsidP="00000000" w:rsidRDefault="00000000" w:rsidRPr="00000000" w14:paraId="0000001B">
      <w:pPr>
        <w:spacing w:after="240" w:before="240" w:lineRule="auto"/>
        <w:jc w:val="both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-&gt; Déformation importante lors du séchage du bois (retrait tangentiel plus fort que retraite radial).</w:t>
      </w:r>
    </w:p>
    <w:p w:rsidR="00000000" w:rsidDel="00000000" w:rsidP="00000000" w:rsidRDefault="00000000" w:rsidRPr="00000000" w14:paraId="0000001C">
      <w:pPr>
        <w:spacing w:after="240" w:before="240" w:lineRule="auto"/>
        <w:jc w:val="center"/>
        <w:rPr>
          <w:rFonts w:ascii="Titillium Web Light" w:cs="Titillium Web Light" w:eastAsia="Titillium Web Light" w:hAnsi="Titillium Web Light"/>
          <w:highlight w:val="white"/>
        </w:rPr>
      </w:pPr>
      <w:r w:rsidDel="00000000" w:rsidR="00000000" w:rsidRPr="00000000">
        <w:rPr>
          <w:rFonts w:ascii="Titillium Web Light" w:cs="Titillium Web Light" w:eastAsia="Titillium Web Light" w:hAnsi="Titillium Web Light"/>
          <w:highlight w:val="white"/>
        </w:rPr>
        <w:drawing>
          <wp:inline distB="114300" distT="114300" distL="114300" distR="114300">
            <wp:extent cx="4643438" cy="1858918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43438" cy="18589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240" w:before="240" w:lineRule="auto"/>
        <w:jc w:val="center"/>
        <w:rPr>
          <w:rFonts w:ascii="Titillium Web Light" w:cs="Titillium Web Light" w:eastAsia="Titillium Web Light" w:hAnsi="Titillium Web Ligh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240" w:before="240" w:lineRule="auto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-&gt; Bonne résistance mécanique</w:t>
      </w:r>
    </w:p>
    <w:p w:rsidR="00000000" w:rsidDel="00000000" w:rsidP="00000000" w:rsidRDefault="00000000" w:rsidRPr="00000000" w14:paraId="0000001F">
      <w:pPr>
        <w:spacing w:after="240" w:before="240" w:lineRule="auto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-&gt; Densité faible</w:t>
      </w:r>
    </w:p>
    <w:p w:rsidR="00000000" w:rsidDel="00000000" w:rsidP="00000000" w:rsidRDefault="00000000" w:rsidRPr="00000000" w14:paraId="00000020">
      <w:pPr>
        <w:spacing w:after="240" w:before="240" w:lineRule="auto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-&gt; Rapport R/</w:t>
      </w:r>
      <m:oMath>
        <m:r>
          <m:t>ρ</m:t>
        </m:r>
      </m:oMath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 intéressant (acier 2,05 ; béton 0,33 ; Bois 1,25 ; bambou 1,67)</w:t>
      </w:r>
    </w:p>
    <w:p w:rsidR="00000000" w:rsidDel="00000000" w:rsidP="00000000" w:rsidRDefault="00000000" w:rsidRPr="00000000" w14:paraId="00000021">
      <w:pPr>
        <w:spacing w:after="240" w:before="240" w:lineRule="auto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240" w:before="240" w:lineRule="auto"/>
        <w:rPr>
          <w:rFonts w:ascii="Titillium Web Light" w:cs="Titillium Web Light" w:eastAsia="Titillium Web Light" w:hAnsi="Titillium Web Ligh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Bdr>
          <w:left w:color="ffd966" w:space="2" w:sz="24" w:val="single"/>
        </w:pBdr>
        <w:spacing w:after="240" w:before="240" w:lineRule="auto"/>
        <w:jc w:val="both"/>
        <w:rPr>
          <w:rFonts w:ascii="Titillium Web" w:cs="Titillium Web" w:eastAsia="Titillium Web" w:hAnsi="Titillium Web"/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pStyle w:val="Heading1"/>
        <w:pBdr>
          <w:left w:color="ffd966" w:space="2" w:sz="24" w:val="single"/>
        </w:pBdr>
        <w:spacing w:after="240" w:before="240" w:lineRule="auto"/>
        <w:jc w:val="both"/>
        <w:rPr/>
      </w:pPr>
      <w:bookmarkStart w:colFirst="0" w:colLast="0" w:name="_5369oe2r87rf" w:id="1"/>
      <w:bookmarkEnd w:id="1"/>
      <w:r w:rsidDel="00000000" w:rsidR="00000000" w:rsidRPr="00000000">
        <w:rPr>
          <w:rtl w:val="0"/>
        </w:rPr>
        <w:t xml:space="preserve">Bois et matériaux dérivés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3295650</wp:posOffset>
            </wp:positionH>
            <wp:positionV relativeFrom="paragraph">
              <wp:posOffset>495300</wp:posOffset>
            </wp:positionV>
            <wp:extent cx="2643188" cy="1755964"/>
            <wp:effectExtent b="0" l="0" r="0" t="0"/>
            <wp:wrapSquare wrapText="bothSides" distB="114300" distT="114300" distL="114300" distR="114300"/>
            <wp:docPr id="5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3188" cy="175596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5">
      <w:pPr>
        <w:pStyle w:val="Heading2"/>
        <w:spacing w:after="240" w:before="240" w:lineRule="auto"/>
        <w:rPr>
          <w:sz w:val="22"/>
          <w:szCs w:val="22"/>
        </w:rPr>
      </w:pPr>
      <w:bookmarkStart w:colFirst="0" w:colLast="0" w:name="_3dhsr2v9b97k" w:id="2"/>
      <w:bookmarkEnd w:id="2"/>
      <w:r w:rsidDel="00000000" w:rsidR="00000000" w:rsidRPr="00000000">
        <w:rPr>
          <w:sz w:val="22"/>
          <w:szCs w:val="22"/>
          <w:rtl w:val="0"/>
        </w:rPr>
        <w:t xml:space="preserve">1.Le bois massif</w:t>
      </w:r>
    </w:p>
    <w:p w:rsidR="00000000" w:rsidDel="00000000" w:rsidP="00000000" w:rsidRDefault="00000000" w:rsidRPr="00000000" w14:paraId="00000026">
      <w:pPr>
        <w:numPr>
          <w:ilvl w:val="0"/>
          <w:numId w:val="1"/>
        </w:numPr>
        <w:spacing w:after="0" w:afterAutospacing="0" w:before="24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Tronc coupés </w:t>
      </w:r>
      <w:r w:rsidDel="00000000" w:rsidR="00000000" w:rsidRPr="00000000">
        <w:rPr>
          <w:rFonts w:ascii="Titillium Web" w:cs="Titillium Web" w:eastAsia="Titillium Web" w:hAnsi="Titillium Web"/>
          <w:i w:val="1"/>
          <w:highlight w:val="white"/>
          <w:rtl w:val="0"/>
        </w:rPr>
        <w:t xml:space="preserve">(scies à grume à ruban (acier  trempé ou stellite), scies circulaires) </w:t>
      </w: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en forme de planche.</w:t>
      </w:r>
    </w:p>
    <w:p w:rsidR="00000000" w:rsidDel="00000000" w:rsidP="00000000" w:rsidRDefault="00000000" w:rsidRPr="00000000" w14:paraId="00000027">
      <w:pPr>
        <w:numPr>
          <w:ilvl w:val="0"/>
          <w:numId w:val="1"/>
        </w:numPr>
        <w:spacing w:after="0" w:afterAutospacing="0" w:before="0" w:beforeAutospacing="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Dégauchissage </w:t>
      </w:r>
      <w:r w:rsidDel="00000000" w:rsidR="00000000" w:rsidRPr="00000000">
        <w:rPr>
          <w:rFonts w:ascii="Titillium Web" w:cs="Titillium Web" w:eastAsia="Titillium Web" w:hAnsi="Titillium Web"/>
          <w:i w:val="1"/>
          <w:highlight w:val="white"/>
          <w:rtl w:val="0"/>
        </w:rPr>
        <w:t xml:space="preserve">(obtention d’une surface plane usinée.)</w:t>
      </w:r>
    </w:p>
    <w:p w:rsidR="00000000" w:rsidDel="00000000" w:rsidP="00000000" w:rsidRDefault="00000000" w:rsidRPr="00000000" w14:paraId="00000028">
      <w:pPr>
        <w:numPr>
          <w:ilvl w:val="0"/>
          <w:numId w:val="1"/>
        </w:numPr>
        <w:spacing w:after="240" w:before="0" w:beforeAutospacing="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Rabotage (</w:t>
      </w:r>
      <w:r w:rsidDel="00000000" w:rsidR="00000000" w:rsidRPr="00000000">
        <w:rPr>
          <w:rFonts w:ascii="Titillium Web" w:cs="Titillium Web" w:eastAsia="Titillium Web" w:hAnsi="Titillium Web"/>
          <w:i w:val="1"/>
          <w:highlight w:val="white"/>
          <w:rtl w:val="0"/>
        </w:rPr>
        <w:t xml:space="preserve">obtention d’une deuxième surface plane parallèle à la première.)</w:t>
      </w:r>
    </w:p>
    <w:p w:rsidR="00000000" w:rsidDel="00000000" w:rsidP="00000000" w:rsidRDefault="00000000" w:rsidRPr="00000000" w14:paraId="00000029">
      <w:pPr>
        <w:spacing w:after="240" w:before="240" w:lineRule="auto"/>
        <w:ind w:left="0" w:firstLine="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240" w:before="240" w:lineRule="auto"/>
        <w:ind w:left="0" w:firstLine="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Ses défauts: Noeuds, anomalies de croissance, blessures, fentes, autres</w:t>
      </w:r>
    </w:p>
    <w:p w:rsidR="00000000" w:rsidDel="00000000" w:rsidP="00000000" w:rsidRDefault="00000000" w:rsidRPr="00000000" w14:paraId="0000002B">
      <w:pPr>
        <w:spacing w:after="240" w:before="240" w:lineRule="auto"/>
        <w:ind w:left="0" w:firstLine="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240" w:before="240" w:lineRule="auto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Notion de durabilité et de classe des bois: </w:t>
      </w:r>
    </w:p>
    <w:p w:rsidR="00000000" w:rsidDel="00000000" w:rsidP="00000000" w:rsidRDefault="00000000" w:rsidRPr="00000000" w14:paraId="0000002D">
      <w:pPr>
        <w:spacing w:after="240" w:before="240" w:lineRule="auto"/>
        <w:rPr>
          <w:rFonts w:ascii="Titillium Web Light" w:cs="Titillium Web Light" w:eastAsia="Titillium Web Light" w:hAnsi="Titillium Web Ligh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240" w:before="240" w:lineRule="auto"/>
        <w:rPr>
          <w:rFonts w:ascii="Titillium Web Light" w:cs="Titillium Web Light" w:eastAsia="Titillium Web Light" w:hAnsi="Titillium Web Ligh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after="240" w:before="240" w:lineRule="auto"/>
        <w:rPr>
          <w:rFonts w:ascii="Titillium Web Light" w:cs="Titillium Web Light" w:eastAsia="Titillium Web Light" w:hAnsi="Titillium Web Light"/>
          <w:highlight w:val="white"/>
        </w:rPr>
      </w:pPr>
      <w:r w:rsidDel="00000000" w:rsidR="00000000" w:rsidRPr="00000000">
        <w:rPr>
          <w:rFonts w:ascii="Titillium Web Light" w:cs="Titillium Web Light" w:eastAsia="Titillium Web Light" w:hAnsi="Titillium Web Light"/>
          <w:highlight w:val="white"/>
        </w:rPr>
        <w:drawing>
          <wp:inline distB="114300" distT="114300" distL="114300" distR="114300">
            <wp:extent cx="5731200" cy="3048000"/>
            <wp:effectExtent b="0" l="0" r="0" t="0"/>
            <wp:docPr id="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48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after="240" w:before="240" w:lineRule="auto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</w:rPr>
        <w:drawing>
          <wp:inline distB="114300" distT="114300" distL="114300" distR="114300">
            <wp:extent cx="5731200" cy="2641600"/>
            <wp:effectExtent b="0" l="0" r="0" t="0"/>
            <wp:docPr id="1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4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after="240" w:before="240" w:lineRule="auto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Traitement éventuel:</w:t>
      </w:r>
    </w:p>
    <w:p w:rsidR="00000000" w:rsidDel="00000000" w:rsidP="00000000" w:rsidRDefault="00000000" w:rsidRPr="00000000" w14:paraId="00000032">
      <w:pPr>
        <w:numPr>
          <w:ilvl w:val="0"/>
          <w:numId w:val="2"/>
        </w:numPr>
        <w:spacing w:after="0" w:afterAutospacing="0" w:before="240" w:lineRule="auto"/>
        <w:ind w:left="144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Huiles naturelles (lin,...),sels (bore, cuivre, chrome, arsenic...)</w:t>
      </w:r>
    </w:p>
    <w:p w:rsidR="00000000" w:rsidDel="00000000" w:rsidP="00000000" w:rsidRDefault="00000000" w:rsidRPr="00000000" w14:paraId="00000033">
      <w:pPr>
        <w:numPr>
          <w:ilvl w:val="0"/>
          <w:numId w:val="2"/>
        </w:numPr>
        <w:spacing w:after="0" w:afterAutospacing="0" w:before="0" w:beforeAutospacing="0" w:lineRule="auto"/>
        <w:ind w:left="144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Produits bitumineux</w:t>
      </w:r>
    </w:p>
    <w:p w:rsidR="00000000" w:rsidDel="00000000" w:rsidP="00000000" w:rsidRDefault="00000000" w:rsidRPr="00000000" w14:paraId="00000034">
      <w:pPr>
        <w:numPr>
          <w:ilvl w:val="0"/>
          <w:numId w:val="2"/>
        </w:numPr>
        <w:spacing w:after="0" w:afterAutospacing="0" w:before="0" w:beforeAutospacing="0" w:lineRule="auto"/>
        <w:ind w:left="144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Créosotes (interdit en Europe depuis 2001)</w:t>
      </w:r>
    </w:p>
    <w:p w:rsidR="00000000" w:rsidDel="00000000" w:rsidP="00000000" w:rsidRDefault="00000000" w:rsidRPr="00000000" w14:paraId="00000035">
      <w:pPr>
        <w:numPr>
          <w:ilvl w:val="0"/>
          <w:numId w:val="2"/>
        </w:numPr>
        <w:spacing w:after="0" w:afterAutospacing="0" w:before="0" w:beforeAutospacing="0" w:lineRule="auto"/>
        <w:ind w:left="144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Peintures, vernis, lasures</w:t>
      </w:r>
    </w:p>
    <w:p w:rsidR="00000000" w:rsidDel="00000000" w:rsidP="00000000" w:rsidRDefault="00000000" w:rsidRPr="00000000" w14:paraId="00000036">
      <w:pPr>
        <w:numPr>
          <w:ilvl w:val="0"/>
          <w:numId w:val="2"/>
        </w:numPr>
        <w:spacing w:after="240" w:before="0" w:beforeAutospacing="0" w:lineRule="auto"/>
        <w:ind w:left="144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Thermiques</w:t>
      </w:r>
    </w:p>
    <w:p w:rsidR="00000000" w:rsidDel="00000000" w:rsidP="00000000" w:rsidRDefault="00000000" w:rsidRPr="00000000" w14:paraId="00000037">
      <w:pPr>
        <w:spacing w:after="240" w:before="240" w:lineRule="auto"/>
        <w:ind w:left="0" w:firstLine="0"/>
        <w:rPr>
          <w:rFonts w:ascii="Titillium Web Light" w:cs="Titillium Web Light" w:eastAsia="Titillium Web Light" w:hAnsi="Titillium Web Ligh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pStyle w:val="Heading2"/>
        <w:spacing w:after="240" w:before="240" w:lineRule="auto"/>
        <w:rPr>
          <w:sz w:val="22"/>
          <w:szCs w:val="22"/>
        </w:rPr>
      </w:pPr>
      <w:bookmarkStart w:colFirst="0" w:colLast="0" w:name="_ag3ocbb9loi5" w:id="3"/>
      <w:bookmarkEnd w:id="3"/>
      <w:r w:rsidDel="00000000" w:rsidR="00000000" w:rsidRPr="00000000">
        <w:rPr>
          <w:sz w:val="22"/>
          <w:szCs w:val="22"/>
          <w:rtl w:val="0"/>
        </w:rPr>
        <w:t xml:space="preserve">2. Le bois reconstitué</w:t>
      </w:r>
    </w:p>
    <w:p w:rsidR="00000000" w:rsidDel="00000000" w:rsidP="00000000" w:rsidRDefault="00000000" w:rsidRPr="00000000" w14:paraId="00000039">
      <w:pPr>
        <w:spacing w:after="240" w:before="240" w:lineRule="auto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Fabriqué à partir de sciure ou bois basse qualité</w:t>
      </w:r>
    </w:p>
    <w:p w:rsidR="00000000" w:rsidDel="00000000" w:rsidP="00000000" w:rsidRDefault="00000000" w:rsidRPr="00000000" w14:paraId="0000003A">
      <w:pPr>
        <w:spacing w:after="240" w:before="240" w:lineRule="auto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Stable, facile à créer, son point fort est la facilité à industrialiser le processus fin de vie compliquée (beaucoup de colle…). Niveau caractéristique pas terrible.</w:t>
      </w:r>
    </w:p>
    <w:p w:rsidR="00000000" w:rsidDel="00000000" w:rsidP="00000000" w:rsidRDefault="00000000" w:rsidRPr="00000000" w14:paraId="0000003B">
      <w:pPr>
        <w:numPr>
          <w:ilvl w:val="0"/>
          <w:numId w:val="3"/>
        </w:numPr>
        <w:spacing w:after="0" w:afterAutospacing="0" w:before="24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contreplaqué</w:t>
      </w:r>
    </w:p>
    <w:p w:rsidR="00000000" w:rsidDel="00000000" w:rsidP="00000000" w:rsidRDefault="00000000" w:rsidRPr="00000000" w14:paraId="0000003C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Aggloméré</w:t>
      </w:r>
    </w:p>
    <w:p w:rsidR="00000000" w:rsidDel="00000000" w:rsidP="00000000" w:rsidRDefault="00000000" w:rsidRPr="00000000" w14:paraId="0000003D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Stratifié</w:t>
      </w:r>
    </w:p>
    <w:p w:rsidR="00000000" w:rsidDel="00000000" w:rsidP="00000000" w:rsidRDefault="00000000" w:rsidRPr="00000000" w14:paraId="0000003E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Mélaminé</w:t>
      </w:r>
    </w:p>
    <w:p w:rsidR="00000000" w:rsidDel="00000000" w:rsidP="00000000" w:rsidRDefault="00000000" w:rsidRPr="00000000" w14:paraId="0000003F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OSB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4410075</wp:posOffset>
            </wp:positionH>
            <wp:positionV relativeFrom="paragraph">
              <wp:posOffset>323850</wp:posOffset>
            </wp:positionV>
            <wp:extent cx="968700" cy="968700"/>
            <wp:effectExtent b="0" l="0" r="0" t="0"/>
            <wp:wrapSquare wrapText="bothSides" distB="114300" distT="114300" distL="114300" distR="114300"/>
            <wp:docPr id="6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68700" cy="9687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0">
      <w:pPr>
        <w:numPr>
          <w:ilvl w:val="0"/>
          <w:numId w:val="3"/>
        </w:numPr>
        <w:spacing w:after="240" w:before="0" w:beforeAutospacing="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Compressé</w:t>
      </w:r>
    </w:p>
    <w:p w:rsidR="00000000" w:rsidDel="00000000" w:rsidP="00000000" w:rsidRDefault="00000000" w:rsidRPr="00000000" w14:paraId="00000041">
      <w:pPr>
        <w:spacing w:after="240" w:before="240" w:lineRule="auto"/>
        <w:ind w:left="0" w:firstLine="0"/>
        <w:rPr>
          <w:rFonts w:ascii="Titillium Web Light" w:cs="Titillium Web Light" w:eastAsia="Titillium Web Light" w:hAnsi="Titillium Web Light"/>
          <w:i w:val="1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Le lamellé collé (</w:t>
      </w:r>
      <w:r w:rsidDel="00000000" w:rsidR="00000000" w:rsidRPr="00000000">
        <w:rPr>
          <w:rFonts w:ascii="Titillium Web" w:cs="Titillium Web" w:eastAsia="Titillium Web" w:hAnsi="Titillium Web"/>
          <w:i w:val="1"/>
          <w:highlight w:val="white"/>
          <w:rtl w:val="0"/>
        </w:rPr>
        <w:t xml:space="preserve"> Possibilité de grandes dimensions, formes particulières, section variables optimisées, défauts du</w:t>
      </w:r>
      <w:r w:rsidDel="00000000" w:rsidR="00000000" w:rsidRPr="00000000">
        <w:rPr>
          <w:rFonts w:ascii="Titillium Web Light" w:cs="Titillium Web Light" w:eastAsia="Titillium Web Light" w:hAnsi="Titillium Web Light"/>
          <w:i w:val="1"/>
          <w:highlight w:val="white"/>
          <w:rtl w:val="0"/>
        </w:rPr>
        <w:t xml:space="preserve"> bois purgés)</w:t>
      </w:r>
    </w:p>
    <w:p w:rsidR="00000000" w:rsidDel="00000000" w:rsidP="00000000" w:rsidRDefault="00000000" w:rsidRPr="00000000" w14:paraId="00000042">
      <w:pPr>
        <w:spacing w:after="240" w:before="240" w:lineRule="auto"/>
        <w:rPr>
          <w:rFonts w:ascii="Titillium Web Light" w:cs="Titillium Web Light" w:eastAsia="Titillium Web Light" w:hAnsi="Titillium Web Ligh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pStyle w:val="Heading2"/>
        <w:spacing w:after="240" w:before="240" w:lineRule="auto"/>
        <w:rPr>
          <w:sz w:val="22"/>
          <w:szCs w:val="22"/>
        </w:rPr>
      </w:pPr>
      <w:bookmarkStart w:colFirst="0" w:colLast="0" w:name="_lrk286ybqed7" w:id="4"/>
      <w:bookmarkEnd w:id="4"/>
      <w:r w:rsidDel="00000000" w:rsidR="00000000" w:rsidRPr="00000000">
        <w:rPr>
          <w:sz w:val="22"/>
          <w:szCs w:val="22"/>
          <w:rtl w:val="0"/>
        </w:rPr>
        <w:t xml:space="preserve">3.Le bois: matériau écologique ?</w:t>
      </w:r>
    </w:p>
    <w:p w:rsidR="00000000" w:rsidDel="00000000" w:rsidP="00000000" w:rsidRDefault="00000000" w:rsidRPr="00000000" w14:paraId="00000044">
      <w:pPr>
        <w:spacing w:after="240" w:before="240" w:lineRule="auto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Selon:</w:t>
      </w:r>
    </w:p>
    <w:p w:rsidR="00000000" w:rsidDel="00000000" w:rsidP="00000000" w:rsidRDefault="00000000" w:rsidRPr="00000000" w14:paraId="00000045">
      <w:pPr>
        <w:numPr>
          <w:ilvl w:val="0"/>
          <w:numId w:val="4"/>
        </w:numPr>
        <w:spacing w:after="0" w:afterAutospacing="0" w:before="24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La provenance</w:t>
      </w:r>
    </w:p>
    <w:p w:rsidR="00000000" w:rsidDel="00000000" w:rsidP="00000000" w:rsidRDefault="00000000" w:rsidRPr="00000000" w14:paraId="00000046">
      <w:pPr>
        <w:numPr>
          <w:ilvl w:val="0"/>
          <w:numId w:val="4"/>
        </w:numPr>
        <w:spacing w:after="0" w:afterAutospacing="0" w:before="0" w:beforeAutospacing="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Transformation locale ou pas</w:t>
      </w:r>
    </w:p>
    <w:p w:rsidR="00000000" w:rsidDel="00000000" w:rsidP="00000000" w:rsidRDefault="00000000" w:rsidRPr="00000000" w14:paraId="00000047">
      <w:pPr>
        <w:numPr>
          <w:ilvl w:val="0"/>
          <w:numId w:val="4"/>
        </w:numPr>
        <w:spacing w:after="0" w:afterAutospacing="0" w:before="0" w:beforeAutospacing="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Conditions d’exploitation de la forêt</w:t>
      </w:r>
    </w:p>
    <w:p w:rsidR="00000000" w:rsidDel="00000000" w:rsidP="00000000" w:rsidRDefault="00000000" w:rsidRPr="00000000" w14:paraId="00000048">
      <w:pPr>
        <w:numPr>
          <w:ilvl w:val="0"/>
          <w:numId w:val="4"/>
        </w:numPr>
        <w:spacing w:after="0" w:afterAutospacing="0" w:before="0" w:beforeAutospacing="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Traitement éventuel</w:t>
      </w:r>
    </w:p>
    <w:p w:rsidR="00000000" w:rsidDel="00000000" w:rsidP="00000000" w:rsidRDefault="00000000" w:rsidRPr="00000000" w14:paraId="00000049">
      <w:pPr>
        <w:numPr>
          <w:ilvl w:val="0"/>
          <w:numId w:val="4"/>
        </w:numPr>
        <w:spacing w:after="0" w:afterAutospacing="0" w:before="0" w:beforeAutospacing="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Utilisation de colles, ou autre produit chimique</w:t>
      </w:r>
    </w:p>
    <w:p w:rsidR="00000000" w:rsidDel="00000000" w:rsidP="00000000" w:rsidRDefault="00000000" w:rsidRPr="00000000" w14:paraId="0000004A">
      <w:pPr>
        <w:numPr>
          <w:ilvl w:val="0"/>
          <w:numId w:val="4"/>
        </w:numPr>
        <w:spacing w:after="0" w:afterAutospacing="0" w:before="0" w:beforeAutospacing="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Matériaux difficile à dissocier en fin de vie</w:t>
      </w:r>
    </w:p>
    <w:p w:rsidR="00000000" w:rsidDel="00000000" w:rsidP="00000000" w:rsidRDefault="00000000" w:rsidRPr="00000000" w14:paraId="0000004B">
      <w:pPr>
        <w:numPr>
          <w:ilvl w:val="0"/>
          <w:numId w:val="4"/>
        </w:numPr>
        <w:spacing w:after="0" w:afterAutospacing="0" w:before="0" w:beforeAutospacing="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Stockage de CO2</w:t>
      </w:r>
    </w:p>
    <w:p w:rsidR="00000000" w:rsidDel="00000000" w:rsidP="00000000" w:rsidRDefault="00000000" w:rsidRPr="00000000" w14:paraId="0000004C">
      <w:pPr>
        <w:numPr>
          <w:ilvl w:val="0"/>
          <w:numId w:val="4"/>
        </w:numPr>
        <w:spacing w:after="240" w:before="0" w:beforeAutospacing="0" w:lineRule="auto"/>
        <w:ind w:left="720" w:hanging="360"/>
        <w:rPr>
          <w:rFonts w:ascii="Titillium Web" w:cs="Titillium Web" w:eastAsia="Titillium Web" w:hAnsi="Titillium Web"/>
          <w:highlight w:val="white"/>
        </w:rPr>
      </w:pPr>
      <w:r w:rsidDel="00000000" w:rsidR="00000000" w:rsidRPr="00000000">
        <w:rPr>
          <w:rFonts w:ascii="Titillium Web" w:cs="Titillium Web" w:eastAsia="Titillium Web" w:hAnsi="Titillium Web"/>
          <w:highlight w:val="white"/>
          <w:rtl w:val="0"/>
        </w:rPr>
        <w:t xml:space="preserve">Fin de vie du produit</w:t>
      </w:r>
    </w:p>
    <w:p w:rsidR="00000000" w:rsidDel="00000000" w:rsidP="00000000" w:rsidRDefault="00000000" w:rsidRPr="00000000" w14:paraId="0000004D">
      <w:pPr>
        <w:spacing w:after="240" w:before="240" w:lineRule="auto"/>
        <w:rPr>
          <w:rFonts w:ascii="Titillium Web Light" w:cs="Titillium Web Light" w:eastAsia="Titillium Web Light" w:hAnsi="Titillium Web Ligh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240" w:before="240" w:lineRule="auto"/>
        <w:rPr>
          <w:rFonts w:ascii="Titillium Web Light" w:cs="Titillium Web Light" w:eastAsia="Titillium Web Light" w:hAnsi="Titillium Web Ligh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240" w:before="240" w:lineRule="auto"/>
        <w:rPr>
          <w:rFonts w:ascii="Titillium Web Light" w:cs="Titillium Web Light" w:eastAsia="Titillium Web Light" w:hAnsi="Titillium Web Light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>
          <w:rFonts w:ascii="Titillium Web" w:cs="Titillium Web" w:eastAsia="Titillium Web" w:hAnsi="Titillium Web"/>
        </w:rPr>
      </w:pPr>
      <w:r w:rsidDel="00000000" w:rsidR="00000000" w:rsidRPr="00000000">
        <w:rPr>
          <w:rtl w:val="0"/>
        </w:rPr>
      </w:r>
    </w:p>
    <w:sectPr>
      <w:headerReference r:id="rId12" w:type="first"/>
      <w:footerReference r:id="rId13" w:type="default"/>
      <w:footerReference r:id="rId14" w:type="first"/>
      <w:pgSz w:h="16834" w:w="11909" w:orient="portrait"/>
      <w:pgMar w:bottom="1440" w:top="1440" w:left="1440" w:right="1440" w:header="720" w:footer="720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tillium Web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itillium Web Ligh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51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52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53">
    <w:pPr>
      <w:rPr/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4819650</wp:posOffset>
          </wp:positionH>
          <wp:positionV relativeFrom="paragraph">
            <wp:posOffset>-104774</wp:posOffset>
          </wp:positionV>
          <wp:extent cx="1357313" cy="254178"/>
          <wp:effectExtent b="0" l="0" r="0" t="0"/>
          <wp:wrapNone/>
          <wp:docPr id="7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357313" cy="254178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-523874</wp:posOffset>
          </wp:positionH>
          <wp:positionV relativeFrom="paragraph">
            <wp:posOffset>-219074</wp:posOffset>
          </wp:positionV>
          <wp:extent cx="934140" cy="481013"/>
          <wp:effectExtent b="0" l="0" r="0" t="0"/>
          <wp:wrapNone/>
          <wp:docPr id="2" name="image5.png"/>
          <a:graphic>
            <a:graphicData uri="http://schemas.openxmlformats.org/drawingml/2006/picture">
              <pic:pic>
                <pic:nvPicPr>
                  <pic:cNvPr id="0" name="image5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934140" cy="481013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54">
    <w:pPr>
      <w:jc w:val="center"/>
      <w:rPr/>
    </w:pPr>
    <w:r w:rsidDel="00000000" w:rsidR="00000000" w:rsidRPr="00000000">
      <w:pict>
        <v:rect style="width:0.0pt;height:1.5pt" o:hr="t" o:hrstd="t" o:hralign="center" fillcolor="#A0A0A0" stroked="f"/>
      </w:pic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fr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Bdr>
        <w:left w:color="ffd966" w:space="2" w:sz="24" w:val="single"/>
      </w:pBdr>
      <w:spacing w:after="240" w:before="240" w:lineRule="auto"/>
      <w:jc w:val="both"/>
    </w:pPr>
    <w:rPr>
      <w:rFonts w:ascii="Titillium Web" w:cs="Titillium Web" w:eastAsia="Titillium Web" w:hAnsi="Titillium Web"/>
      <w:b w:val="1"/>
    </w:rPr>
  </w:style>
  <w:style w:type="paragraph" w:styleId="Heading2">
    <w:name w:val="heading 2"/>
    <w:basedOn w:val="Normal"/>
    <w:next w:val="Normal"/>
    <w:pPr>
      <w:keepNext w:val="1"/>
      <w:keepLines w:val="1"/>
      <w:spacing w:after="240" w:before="240" w:lineRule="auto"/>
    </w:pPr>
    <w:rPr>
      <w:rFonts w:ascii="Titillium Web" w:cs="Titillium Web" w:eastAsia="Titillium Web" w:hAnsi="Titillium Web"/>
      <w:b w:val="1"/>
      <w:i w:val="1"/>
      <w:sz w:val="21"/>
      <w:szCs w:val="21"/>
      <w:highlight w:val="whit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8.png"/><Relationship Id="rId10" Type="http://schemas.openxmlformats.org/officeDocument/2006/relationships/image" Target="media/image6.png"/><Relationship Id="rId13" Type="http://schemas.openxmlformats.org/officeDocument/2006/relationships/footer" Target="footer1.xml"/><Relationship Id="rId12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14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4.png"/><Relationship Id="rId8" Type="http://schemas.openxmlformats.org/officeDocument/2006/relationships/image" Target="media/image7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TitilliumWeb-regular.ttf"/><Relationship Id="rId2" Type="http://schemas.openxmlformats.org/officeDocument/2006/relationships/font" Target="fonts/TitilliumWeb-bold.ttf"/><Relationship Id="rId3" Type="http://schemas.openxmlformats.org/officeDocument/2006/relationships/font" Target="fonts/TitilliumWeb-italic.ttf"/><Relationship Id="rId4" Type="http://schemas.openxmlformats.org/officeDocument/2006/relationships/font" Target="fonts/TitilliumWeb-boldItalic.ttf"/><Relationship Id="rId5" Type="http://schemas.openxmlformats.org/officeDocument/2006/relationships/font" Target="fonts/TitilliumWebLight-regular.ttf"/><Relationship Id="rId6" Type="http://schemas.openxmlformats.org/officeDocument/2006/relationships/font" Target="fonts/TitilliumWebLight-bold.ttf"/><Relationship Id="rId7" Type="http://schemas.openxmlformats.org/officeDocument/2006/relationships/font" Target="fonts/TitilliumWebLight-italic.ttf"/><Relationship Id="rId8" Type="http://schemas.openxmlformats.org/officeDocument/2006/relationships/font" Target="fonts/TitilliumWebLigh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